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 w:hAnsi="仿宋" w:eastAsia="仿宋"/>
          <w:szCs w:val="30"/>
        </w:rPr>
      </w:pPr>
      <w:r>
        <w:rPr>
          <w:rFonts w:hint="eastAsia" w:ascii="仿宋" w:hAnsi="仿宋" w:eastAsia="仿宋"/>
          <w:szCs w:val="30"/>
        </w:rPr>
        <w:t>附件2</w:t>
      </w:r>
    </w:p>
    <w:p>
      <w:pPr>
        <w:widowControl/>
        <w:jc w:val="left"/>
        <w:rPr>
          <w:rFonts w:hint="eastAsia" w:ascii="仿宋" w:hAnsi="仿宋" w:eastAsia="仿宋"/>
          <w:szCs w:val="3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b/>
          <w:sz w:val="36"/>
          <w:szCs w:val="36"/>
        </w:rPr>
      </w:pPr>
      <w:r>
        <w:rPr>
          <w:rFonts w:ascii="宋体" w:hAnsi="宋体" w:eastAsia="宋体"/>
          <w:b/>
          <w:sz w:val="36"/>
          <w:szCs w:val="36"/>
        </w:rPr>
        <w:t>20</w:t>
      </w:r>
      <w:r>
        <w:rPr>
          <w:rFonts w:hint="eastAsia" w:ascii="宋体" w:hAnsi="宋体" w:eastAsia="宋体"/>
          <w:b/>
          <w:sz w:val="36"/>
          <w:szCs w:val="36"/>
          <w:lang w:val="en-US" w:eastAsia="zh-CN"/>
        </w:rPr>
        <w:t>20</w:t>
      </w:r>
      <w:r>
        <w:rPr>
          <w:rFonts w:hint="eastAsia" w:ascii="宋体" w:hAnsi="宋体" w:eastAsia="宋体"/>
          <w:b/>
          <w:sz w:val="36"/>
          <w:szCs w:val="36"/>
        </w:rPr>
        <w:t>河南企业100强暨</w:t>
      </w:r>
      <w:r>
        <w:rPr>
          <w:rFonts w:ascii="宋体" w:hAnsi="宋体" w:eastAsia="宋体"/>
          <w:b/>
          <w:sz w:val="36"/>
          <w:szCs w:val="36"/>
        </w:rPr>
        <w:t>中国企业500强申报</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b/>
          <w:sz w:val="36"/>
          <w:szCs w:val="36"/>
        </w:rPr>
      </w:pPr>
      <w:r>
        <w:rPr>
          <w:rFonts w:ascii="宋体" w:hAnsi="宋体" w:eastAsia="宋体"/>
          <w:b/>
          <w:sz w:val="36"/>
          <w:szCs w:val="36"/>
        </w:rPr>
        <w:t>填</w:t>
      </w:r>
      <w:r>
        <w:rPr>
          <w:rFonts w:hint="eastAsia" w:ascii="宋体" w:hAnsi="宋体" w:eastAsia="宋体"/>
          <w:b/>
          <w:sz w:val="36"/>
          <w:szCs w:val="36"/>
        </w:rPr>
        <w:t xml:space="preserve">  </w:t>
      </w:r>
      <w:r>
        <w:rPr>
          <w:rFonts w:ascii="宋体" w:hAnsi="宋体" w:eastAsia="宋体"/>
          <w:b/>
          <w:sz w:val="36"/>
          <w:szCs w:val="36"/>
        </w:rPr>
        <w:t>表</w:t>
      </w:r>
      <w:r>
        <w:rPr>
          <w:rFonts w:hint="eastAsia" w:ascii="宋体" w:hAnsi="宋体" w:eastAsia="宋体"/>
          <w:b/>
          <w:sz w:val="36"/>
          <w:szCs w:val="36"/>
        </w:rPr>
        <w:t xml:space="preserve">  </w:t>
      </w:r>
      <w:r>
        <w:rPr>
          <w:rFonts w:ascii="宋体" w:hAnsi="宋体" w:eastAsia="宋体"/>
          <w:b/>
          <w:sz w:val="36"/>
          <w:szCs w:val="36"/>
        </w:rPr>
        <w:t>说</w:t>
      </w:r>
      <w:r>
        <w:rPr>
          <w:rFonts w:hint="eastAsia" w:ascii="宋体" w:hAnsi="宋体" w:eastAsia="宋体"/>
          <w:b/>
          <w:sz w:val="36"/>
          <w:szCs w:val="36"/>
        </w:rPr>
        <w:t xml:space="preserve">  </w:t>
      </w:r>
      <w:r>
        <w:rPr>
          <w:rFonts w:ascii="宋体" w:hAnsi="宋体" w:eastAsia="宋体"/>
          <w:b/>
          <w:sz w:val="36"/>
          <w:szCs w:val="36"/>
        </w:rPr>
        <w:t>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b/>
          <w:szCs w:val="30"/>
        </w:rPr>
      </w:pPr>
    </w:p>
    <w:p>
      <w:pPr>
        <w:keepNext w:val="0"/>
        <w:keepLines w:val="0"/>
        <w:pageBreakBefore w:val="0"/>
        <w:widowControl w:val="0"/>
        <w:kinsoku/>
        <w:wordWrap/>
        <w:overflowPunct/>
        <w:topLinePunct w:val="0"/>
        <w:autoSpaceDE/>
        <w:autoSpaceDN/>
        <w:bidi w:val="0"/>
        <w:adjustRightInd/>
        <w:snapToGrid/>
        <w:spacing w:line="360" w:lineRule="auto"/>
        <w:ind w:right="-289" w:firstLine="600" w:firstLineChars="200"/>
        <w:textAlignment w:val="auto"/>
        <w:rPr>
          <w:rFonts w:ascii="仿宋" w:hAnsi="仿宋" w:eastAsia="仿宋"/>
          <w:szCs w:val="30"/>
        </w:rPr>
      </w:pPr>
      <w:r>
        <w:rPr>
          <w:rFonts w:hint="eastAsia" w:ascii="仿宋" w:hAnsi="仿宋" w:eastAsia="仿宋"/>
          <w:szCs w:val="30"/>
        </w:rPr>
        <w:t>20</w:t>
      </w:r>
      <w:r>
        <w:rPr>
          <w:rFonts w:hint="eastAsia" w:ascii="仿宋" w:hAnsi="仿宋" w:eastAsia="仿宋"/>
          <w:szCs w:val="30"/>
          <w:lang w:val="en-US" w:eastAsia="zh-CN"/>
        </w:rPr>
        <w:t>20</w:t>
      </w:r>
      <w:r>
        <w:rPr>
          <w:rFonts w:hint="eastAsia" w:ascii="仿宋" w:hAnsi="仿宋" w:eastAsia="仿宋"/>
          <w:szCs w:val="30"/>
        </w:rPr>
        <w:t>河南企业100强暨中国企业500强（包括制造业、服务业企业500强、跨国公司100大、战新领军企业100强）申报表主要栏目填报说明如下：</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一、企业性质栏：请从“国有”、“民营”、“外资”三种性质中选一项打√。国有是指国有及国有控股企业,民营是指非国有企业，包括集体和私营企业等。</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二、生产的产品或提供的服务栏：指企业生产的主要产品或提供的主要服务，按在营业收入的占比由大到小排列，最多不超过3项。(必须填写)</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三、指标栏：所有指标均按企业合并财务报表和年报的数据填报，金额单位：万元人民币。合并财务报表的合并范围应当以控制为基础予以确定。</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营业收入：包括企业的所有收入，不含增值税，即主营业务和非主营业务、境内和境外的收入。不含非连续性经营活动及石油、酒类的代征消费税收入。商业银行的营业收入为利息收入与非利息营业收入之和(不扣减对应的支出)。保险公司的营业收入是保险费和年金收入扣除储蓄的资本收益或损失。</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hint="eastAsia" w:ascii="仿宋" w:hAnsi="仿宋" w:eastAsia="仿宋"/>
          <w:szCs w:val="30"/>
        </w:rPr>
      </w:pPr>
      <w:r>
        <w:rPr>
          <w:rFonts w:hint="eastAsia" w:ascii="仿宋" w:hAnsi="仿宋" w:eastAsia="仿宋"/>
          <w:szCs w:val="30"/>
        </w:rPr>
        <w:t>利润总额：所得税扣除之前的总利润。</w:t>
      </w:r>
    </w:p>
    <w:p>
      <w:pPr>
        <w:keepNext w:val="0"/>
        <w:keepLines w:val="0"/>
        <w:pageBreakBefore w:val="0"/>
        <w:widowControl w:val="0"/>
        <w:kinsoku/>
        <w:wordWrap/>
        <w:overflowPunct/>
        <w:topLinePunct w:val="0"/>
        <w:autoSpaceDE/>
        <w:autoSpaceDN/>
        <w:bidi w:val="0"/>
        <w:adjustRightInd/>
        <w:snapToGrid/>
        <w:spacing w:line="360" w:lineRule="auto"/>
        <w:ind w:right="-289" w:firstLine="600" w:firstLineChars="200"/>
        <w:textAlignment w:val="auto"/>
        <w:rPr>
          <w:rFonts w:hint="eastAsia" w:ascii="仿宋" w:hAnsi="仿宋" w:eastAsia="仿宋"/>
          <w:szCs w:val="30"/>
        </w:rPr>
      </w:pPr>
      <w:r>
        <w:rPr>
          <w:rFonts w:hint="eastAsia" w:ascii="仿宋" w:hAnsi="仿宋" w:eastAsia="仿宋"/>
          <w:szCs w:val="30"/>
        </w:rPr>
        <w:t>净利润：利润总额扣除所得税。</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归属母公司所有者净利润：净利润扣除少数股东损益。</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资产总额：年末的资产总额。</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所有者权益：年末的所有者权益总额。</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归属母公司所有者权益：所有者权益扣除少数股东权益。</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纳税总额：在中国大陆境内实际缴纳的税收总额，包括增值税、消费税、营业税、企业所得税以及其他各税种税收，不包括本企业（集团）代扣代缴其他企业或个人的各种税收，也不包括教育费附加、文化事业建设费等各项非税收费用。</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研发费用：企业研究开发新产品、新技术、新工艺所发生的各项费用，包括新产品设计费、工艺规程制定费、设备调整费、原材料和半成品的实验费、技术图书资料费、研究机构人员的工资、研究设备的折旧、新产品的试制、技术研究有关的其他经费以及委托其他单位进行科研试制的费用。</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信息化投入：企业信息化的软硬件投入和运营维护投入。</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员工总数：年度平均从业人数（含所有被合并报表企业的人数）。</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海外收入、海外资产、海外员工是指企业在中国大陆以外的营业收入、资产、员工。海外收入以平均汇率折算,海外资产以年底汇率折算。平均汇率： 201</w:t>
      </w:r>
      <w:r>
        <w:rPr>
          <w:rFonts w:hint="eastAsia" w:ascii="仿宋" w:hAnsi="仿宋" w:eastAsia="仿宋"/>
          <w:szCs w:val="30"/>
          <w:lang w:val="en-US" w:eastAsia="zh-CN"/>
        </w:rPr>
        <w:t>8</w:t>
      </w:r>
      <w:r>
        <w:rPr>
          <w:rFonts w:hint="eastAsia" w:ascii="仿宋" w:hAnsi="仿宋" w:eastAsia="仿宋"/>
          <w:szCs w:val="30"/>
        </w:rPr>
        <w:t>年为1美元=</w:t>
      </w:r>
      <w:r>
        <w:rPr>
          <w:rFonts w:hint="eastAsia" w:ascii="仿宋" w:hAnsi="仿宋" w:eastAsia="仿宋"/>
          <w:szCs w:val="30"/>
          <w:lang w:val="en-US" w:eastAsia="zh-CN"/>
        </w:rPr>
        <w:t>6.6437</w:t>
      </w:r>
      <w:r>
        <w:rPr>
          <w:rFonts w:hint="eastAsia" w:ascii="仿宋" w:hAnsi="仿宋" w:eastAsia="仿宋"/>
          <w:szCs w:val="30"/>
        </w:rPr>
        <w:t>元人民币，201</w:t>
      </w:r>
      <w:r>
        <w:rPr>
          <w:rFonts w:hint="eastAsia" w:ascii="仿宋" w:hAnsi="仿宋" w:eastAsia="仿宋"/>
          <w:szCs w:val="30"/>
          <w:lang w:val="en-US" w:eastAsia="zh-CN"/>
        </w:rPr>
        <w:t>9</w:t>
      </w:r>
      <w:r>
        <w:rPr>
          <w:rFonts w:hint="eastAsia" w:ascii="仿宋" w:hAnsi="仿宋" w:eastAsia="仿宋"/>
          <w:szCs w:val="30"/>
        </w:rPr>
        <w:t>年为1美元=</w:t>
      </w:r>
      <w:r>
        <w:rPr>
          <w:rFonts w:hint="eastAsia" w:ascii="仿宋" w:hAnsi="仿宋" w:eastAsia="仿宋"/>
          <w:szCs w:val="30"/>
          <w:lang w:val="en-US" w:eastAsia="zh-CN"/>
        </w:rPr>
        <w:t>6.8875</w:t>
      </w:r>
      <w:r>
        <w:rPr>
          <w:rFonts w:hint="eastAsia" w:ascii="仿宋" w:hAnsi="仿宋" w:eastAsia="仿宋"/>
          <w:szCs w:val="30"/>
        </w:rPr>
        <w:t>元人民币；年底汇率: 201</w:t>
      </w:r>
      <w:r>
        <w:rPr>
          <w:rFonts w:hint="eastAsia" w:ascii="仿宋" w:hAnsi="仿宋" w:eastAsia="仿宋"/>
          <w:szCs w:val="30"/>
          <w:lang w:val="en-US" w:eastAsia="zh-CN"/>
        </w:rPr>
        <w:t>8</w:t>
      </w:r>
      <w:r>
        <w:rPr>
          <w:rFonts w:hint="eastAsia" w:ascii="仿宋" w:hAnsi="仿宋" w:eastAsia="仿宋"/>
          <w:szCs w:val="30"/>
        </w:rPr>
        <w:t>年为1美元=</w:t>
      </w:r>
      <w:r>
        <w:rPr>
          <w:rFonts w:hint="eastAsia" w:ascii="仿宋" w:hAnsi="仿宋" w:eastAsia="仿宋"/>
          <w:szCs w:val="30"/>
          <w:lang w:val="en-US" w:eastAsia="zh-CN"/>
        </w:rPr>
        <w:t>6.8632</w:t>
      </w:r>
      <w:r>
        <w:rPr>
          <w:rFonts w:hint="eastAsia" w:ascii="仿宋" w:hAnsi="仿宋" w:eastAsia="仿宋"/>
          <w:szCs w:val="30"/>
        </w:rPr>
        <w:t>元人民币，201</w:t>
      </w:r>
      <w:r>
        <w:rPr>
          <w:rFonts w:hint="eastAsia" w:ascii="仿宋" w:hAnsi="仿宋" w:eastAsia="仿宋"/>
          <w:szCs w:val="30"/>
          <w:lang w:val="en-US" w:eastAsia="zh-CN"/>
        </w:rPr>
        <w:t>9</w:t>
      </w:r>
      <w:r>
        <w:rPr>
          <w:rFonts w:hint="eastAsia" w:ascii="仿宋" w:hAnsi="仿宋" w:eastAsia="仿宋"/>
          <w:szCs w:val="30"/>
        </w:rPr>
        <w:t>年为1美元=</w:t>
      </w:r>
      <w:r>
        <w:rPr>
          <w:rFonts w:hint="eastAsia" w:ascii="仿宋" w:hAnsi="仿宋" w:eastAsia="仿宋"/>
          <w:szCs w:val="30"/>
          <w:lang w:val="en-US" w:eastAsia="zh-CN"/>
        </w:rPr>
        <w:t>6.9762</w:t>
      </w:r>
      <w:r>
        <w:rPr>
          <w:rFonts w:hint="eastAsia" w:ascii="仿宋" w:hAnsi="仿宋" w:eastAsia="仿宋"/>
          <w:szCs w:val="30"/>
        </w:rPr>
        <w:t>元人民币。</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四、战略性新兴产业的行业分类代码如下：1、新一代信息技术产业；2、高端装备制造产业；3、新材料产业；4、生物产业；5、新能源汽车产业；6、新能源产业；7、节能环保产业；8、数字创意产业；9、相关服务业。</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ascii="仿宋" w:hAnsi="仿宋" w:eastAsia="仿宋"/>
          <w:szCs w:val="30"/>
        </w:rPr>
      </w:pPr>
      <w:r>
        <w:rPr>
          <w:rFonts w:hint="eastAsia" w:ascii="仿宋" w:hAnsi="仿宋" w:eastAsia="仿宋"/>
          <w:szCs w:val="30"/>
        </w:rPr>
        <w:t>五、企业信息栏：请按照要求填写或打√。</w:t>
      </w:r>
    </w:p>
    <w:p>
      <w:pPr>
        <w:keepNext w:val="0"/>
        <w:keepLines w:val="0"/>
        <w:pageBreakBefore w:val="0"/>
        <w:widowControl w:val="0"/>
        <w:kinsoku/>
        <w:wordWrap/>
        <w:overflowPunct/>
        <w:topLinePunct w:val="0"/>
        <w:autoSpaceDE/>
        <w:autoSpaceDN/>
        <w:bidi w:val="0"/>
        <w:adjustRightInd/>
        <w:snapToGrid/>
        <w:spacing w:line="360" w:lineRule="auto"/>
        <w:ind w:right="-87" w:firstLine="600" w:firstLineChars="200"/>
        <w:textAlignment w:val="auto"/>
        <w:rPr>
          <w:rFonts w:hint="eastAsia" w:ascii="仿宋" w:hAnsi="仿宋" w:eastAsia="仿宋"/>
          <w:szCs w:val="30"/>
        </w:rPr>
      </w:pPr>
      <w:r>
        <w:rPr>
          <w:rFonts w:hint="eastAsia" w:ascii="仿宋" w:hAnsi="仿宋" w:eastAsia="仿宋"/>
          <w:szCs w:val="30"/>
        </w:rPr>
        <w:t>六、所有填报栏目一定要完整，资料要仔细核对，保证名称及数据的准确性，并请签字、盖章。</w:t>
      </w:r>
      <w:bookmarkStart w:id="0" w:name="_GoBack"/>
      <w:bookmarkEnd w:id="0"/>
    </w:p>
    <w:p>
      <w:pPr>
        <w:widowControl/>
        <w:jc w:val="left"/>
        <w:rPr>
          <w:rFonts w:ascii="仿宋" w:hAnsi="仿宋" w:eastAsia="仿宋"/>
          <w:szCs w:val="30"/>
        </w:rPr>
      </w:pPr>
    </w:p>
    <w:sectPr>
      <w:headerReference r:id="rId3" w:type="default"/>
      <w:pgSz w:w="11907" w:h="16840"/>
      <w:pgMar w:top="850" w:right="1474" w:bottom="850" w:left="1474" w:header="567" w:footer="567" w:gutter="0"/>
      <w:cols w:space="720" w:num="1"/>
      <w:docGrid w:linePitch="546" w:charSpace="3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bordersDoNotSurroundHeader w:val="1"/>
  <w:bordersDoNotSurroundFooter w:val="1"/>
  <w:documentProtection w:enforcement="0"/>
  <w:defaultTabStop w:val="420"/>
  <w:drawingGridHorizontalSpacing w:val="158"/>
  <w:drawingGridVerticalSpacing w:val="325"/>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449"/>
    <w:rsid w:val="00000734"/>
    <w:rsid w:val="000038E9"/>
    <w:rsid w:val="00017122"/>
    <w:rsid w:val="0003022C"/>
    <w:rsid w:val="00036BDA"/>
    <w:rsid w:val="0004034B"/>
    <w:rsid w:val="00050552"/>
    <w:rsid w:val="000516A3"/>
    <w:rsid w:val="0005381E"/>
    <w:rsid w:val="000819C8"/>
    <w:rsid w:val="000A6230"/>
    <w:rsid w:val="000C7287"/>
    <w:rsid w:val="000D09C1"/>
    <w:rsid w:val="000D64E9"/>
    <w:rsid w:val="000E3DD8"/>
    <w:rsid w:val="000E7589"/>
    <w:rsid w:val="000F0C87"/>
    <w:rsid w:val="000F7C39"/>
    <w:rsid w:val="001137ED"/>
    <w:rsid w:val="00126EF0"/>
    <w:rsid w:val="0013444D"/>
    <w:rsid w:val="0013455B"/>
    <w:rsid w:val="0013643B"/>
    <w:rsid w:val="00141F84"/>
    <w:rsid w:val="001542C9"/>
    <w:rsid w:val="00157AFE"/>
    <w:rsid w:val="00170186"/>
    <w:rsid w:val="00186132"/>
    <w:rsid w:val="00193E04"/>
    <w:rsid w:val="0019539A"/>
    <w:rsid w:val="00196325"/>
    <w:rsid w:val="001A511D"/>
    <w:rsid w:val="001B2B64"/>
    <w:rsid w:val="001B654E"/>
    <w:rsid w:val="001B786B"/>
    <w:rsid w:val="001D3FE8"/>
    <w:rsid w:val="001E793E"/>
    <w:rsid w:val="001E7FB2"/>
    <w:rsid w:val="001F5CD0"/>
    <w:rsid w:val="00217A6C"/>
    <w:rsid w:val="002273D2"/>
    <w:rsid w:val="002377E1"/>
    <w:rsid w:val="00244825"/>
    <w:rsid w:val="002547E1"/>
    <w:rsid w:val="00267E8C"/>
    <w:rsid w:val="0027004B"/>
    <w:rsid w:val="00297547"/>
    <w:rsid w:val="002A0AF3"/>
    <w:rsid w:val="002A175B"/>
    <w:rsid w:val="002A349D"/>
    <w:rsid w:val="002A4F18"/>
    <w:rsid w:val="002B16F6"/>
    <w:rsid w:val="002B34C6"/>
    <w:rsid w:val="002C093F"/>
    <w:rsid w:val="002C311E"/>
    <w:rsid w:val="002D3120"/>
    <w:rsid w:val="002D393F"/>
    <w:rsid w:val="002D5980"/>
    <w:rsid w:val="002D79EE"/>
    <w:rsid w:val="002E1400"/>
    <w:rsid w:val="002F5B71"/>
    <w:rsid w:val="00300BD8"/>
    <w:rsid w:val="00311828"/>
    <w:rsid w:val="0031311C"/>
    <w:rsid w:val="0033123A"/>
    <w:rsid w:val="00333A62"/>
    <w:rsid w:val="00350363"/>
    <w:rsid w:val="00357EC3"/>
    <w:rsid w:val="0037092B"/>
    <w:rsid w:val="003754F0"/>
    <w:rsid w:val="00382442"/>
    <w:rsid w:val="00386281"/>
    <w:rsid w:val="003B36EF"/>
    <w:rsid w:val="003E0C09"/>
    <w:rsid w:val="003E3774"/>
    <w:rsid w:val="003F7E44"/>
    <w:rsid w:val="00415702"/>
    <w:rsid w:val="00430952"/>
    <w:rsid w:val="00431B8F"/>
    <w:rsid w:val="00432328"/>
    <w:rsid w:val="0043661F"/>
    <w:rsid w:val="00441969"/>
    <w:rsid w:val="0044205F"/>
    <w:rsid w:val="00453955"/>
    <w:rsid w:val="004660D4"/>
    <w:rsid w:val="00467452"/>
    <w:rsid w:val="00471E28"/>
    <w:rsid w:val="00484984"/>
    <w:rsid w:val="00484E23"/>
    <w:rsid w:val="00494454"/>
    <w:rsid w:val="004A0A8F"/>
    <w:rsid w:val="004B4CE5"/>
    <w:rsid w:val="004D1A86"/>
    <w:rsid w:val="004D38D7"/>
    <w:rsid w:val="004F57EF"/>
    <w:rsid w:val="005154E4"/>
    <w:rsid w:val="0052215B"/>
    <w:rsid w:val="005316C1"/>
    <w:rsid w:val="00534CEB"/>
    <w:rsid w:val="00536B00"/>
    <w:rsid w:val="00556DE9"/>
    <w:rsid w:val="00564C7C"/>
    <w:rsid w:val="00573A3D"/>
    <w:rsid w:val="00580B48"/>
    <w:rsid w:val="00597346"/>
    <w:rsid w:val="005C43BF"/>
    <w:rsid w:val="005C4F97"/>
    <w:rsid w:val="005E431E"/>
    <w:rsid w:val="005E45C4"/>
    <w:rsid w:val="005E7E88"/>
    <w:rsid w:val="005F5AF7"/>
    <w:rsid w:val="005F6670"/>
    <w:rsid w:val="00607121"/>
    <w:rsid w:val="006105CC"/>
    <w:rsid w:val="00627604"/>
    <w:rsid w:val="00633F13"/>
    <w:rsid w:val="00635E45"/>
    <w:rsid w:val="0065121B"/>
    <w:rsid w:val="006570FD"/>
    <w:rsid w:val="0066777E"/>
    <w:rsid w:val="0067012B"/>
    <w:rsid w:val="00691DB7"/>
    <w:rsid w:val="006939A2"/>
    <w:rsid w:val="006A3B63"/>
    <w:rsid w:val="006B1D7F"/>
    <w:rsid w:val="006B55B1"/>
    <w:rsid w:val="006C127B"/>
    <w:rsid w:val="006D229C"/>
    <w:rsid w:val="006D4F9F"/>
    <w:rsid w:val="006E1A31"/>
    <w:rsid w:val="006E2025"/>
    <w:rsid w:val="006F0862"/>
    <w:rsid w:val="0070061B"/>
    <w:rsid w:val="00711299"/>
    <w:rsid w:val="00717BFA"/>
    <w:rsid w:val="00720004"/>
    <w:rsid w:val="00727D7B"/>
    <w:rsid w:val="00732958"/>
    <w:rsid w:val="00733553"/>
    <w:rsid w:val="0073565B"/>
    <w:rsid w:val="00746D22"/>
    <w:rsid w:val="00753FFA"/>
    <w:rsid w:val="00756F48"/>
    <w:rsid w:val="0075755F"/>
    <w:rsid w:val="007667D2"/>
    <w:rsid w:val="007839DB"/>
    <w:rsid w:val="00787B5A"/>
    <w:rsid w:val="007971A2"/>
    <w:rsid w:val="007A743C"/>
    <w:rsid w:val="007A7CE1"/>
    <w:rsid w:val="007B7FC1"/>
    <w:rsid w:val="007C01FC"/>
    <w:rsid w:val="007D6AC2"/>
    <w:rsid w:val="007E126D"/>
    <w:rsid w:val="00804C57"/>
    <w:rsid w:val="00813764"/>
    <w:rsid w:val="00816198"/>
    <w:rsid w:val="00826FC4"/>
    <w:rsid w:val="00827C70"/>
    <w:rsid w:val="008332CD"/>
    <w:rsid w:val="00835215"/>
    <w:rsid w:val="00856F3E"/>
    <w:rsid w:val="00865CBE"/>
    <w:rsid w:val="00880057"/>
    <w:rsid w:val="008872F4"/>
    <w:rsid w:val="0089027B"/>
    <w:rsid w:val="00892F35"/>
    <w:rsid w:val="00895581"/>
    <w:rsid w:val="008B2118"/>
    <w:rsid w:val="008B2AF5"/>
    <w:rsid w:val="008C15CE"/>
    <w:rsid w:val="008D232D"/>
    <w:rsid w:val="00907A8F"/>
    <w:rsid w:val="00910D88"/>
    <w:rsid w:val="0091426D"/>
    <w:rsid w:val="00916C05"/>
    <w:rsid w:val="00923130"/>
    <w:rsid w:val="00936D21"/>
    <w:rsid w:val="009458BE"/>
    <w:rsid w:val="00957467"/>
    <w:rsid w:val="00963C22"/>
    <w:rsid w:val="00977B10"/>
    <w:rsid w:val="009A05A3"/>
    <w:rsid w:val="009A6FC2"/>
    <w:rsid w:val="009F75BE"/>
    <w:rsid w:val="00A036B5"/>
    <w:rsid w:val="00A062A7"/>
    <w:rsid w:val="00A15671"/>
    <w:rsid w:val="00A22DD0"/>
    <w:rsid w:val="00A245A4"/>
    <w:rsid w:val="00A26564"/>
    <w:rsid w:val="00A41511"/>
    <w:rsid w:val="00A47BDB"/>
    <w:rsid w:val="00A727B2"/>
    <w:rsid w:val="00A80471"/>
    <w:rsid w:val="00A901B1"/>
    <w:rsid w:val="00A9205A"/>
    <w:rsid w:val="00AC3FB0"/>
    <w:rsid w:val="00AC65F9"/>
    <w:rsid w:val="00AD297A"/>
    <w:rsid w:val="00AE38F0"/>
    <w:rsid w:val="00AF1764"/>
    <w:rsid w:val="00AF642F"/>
    <w:rsid w:val="00B01A90"/>
    <w:rsid w:val="00B37412"/>
    <w:rsid w:val="00B4370C"/>
    <w:rsid w:val="00B45716"/>
    <w:rsid w:val="00B53EBE"/>
    <w:rsid w:val="00B54653"/>
    <w:rsid w:val="00B6249A"/>
    <w:rsid w:val="00B630C6"/>
    <w:rsid w:val="00B70A7A"/>
    <w:rsid w:val="00B81B3A"/>
    <w:rsid w:val="00BB29E4"/>
    <w:rsid w:val="00BC54CA"/>
    <w:rsid w:val="00BD41C5"/>
    <w:rsid w:val="00BD51D5"/>
    <w:rsid w:val="00BE2906"/>
    <w:rsid w:val="00BE5A23"/>
    <w:rsid w:val="00C00E06"/>
    <w:rsid w:val="00C13132"/>
    <w:rsid w:val="00C323AA"/>
    <w:rsid w:val="00C37DC8"/>
    <w:rsid w:val="00C410F6"/>
    <w:rsid w:val="00C5352D"/>
    <w:rsid w:val="00C53A57"/>
    <w:rsid w:val="00C67358"/>
    <w:rsid w:val="00C71CE8"/>
    <w:rsid w:val="00C71D85"/>
    <w:rsid w:val="00C908F8"/>
    <w:rsid w:val="00CA353B"/>
    <w:rsid w:val="00CA40EE"/>
    <w:rsid w:val="00CB2F7C"/>
    <w:rsid w:val="00CD26A1"/>
    <w:rsid w:val="00CF2194"/>
    <w:rsid w:val="00D200F6"/>
    <w:rsid w:val="00D3644C"/>
    <w:rsid w:val="00D44A33"/>
    <w:rsid w:val="00D45DF2"/>
    <w:rsid w:val="00D7226D"/>
    <w:rsid w:val="00D765FB"/>
    <w:rsid w:val="00D84366"/>
    <w:rsid w:val="00D84890"/>
    <w:rsid w:val="00D95C0A"/>
    <w:rsid w:val="00DA17C8"/>
    <w:rsid w:val="00DA1EF5"/>
    <w:rsid w:val="00DA26CD"/>
    <w:rsid w:val="00DA7480"/>
    <w:rsid w:val="00DD0672"/>
    <w:rsid w:val="00DD71C1"/>
    <w:rsid w:val="00E07BE7"/>
    <w:rsid w:val="00E14971"/>
    <w:rsid w:val="00E153A6"/>
    <w:rsid w:val="00E27449"/>
    <w:rsid w:val="00E27C7C"/>
    <w:rsid w:val="00E3238A"/>
    <w:rsid w:val="00E354BD"/>
    <w:rsid w:val="00E36DD7"/>
    <w:rsid w:val="00E411E0"/>
    <w:rsid w:val="00E64431"/>
    <w:rsid w:val="00E84D16"/>
    <w:rsid w:val="00E879D2"/>
    <w:rsid w:val="00E958ED"/>
    <w:rsid w:val="00EA0F4F"/>
    <w:rsid w:val="00EC2257"/>
    <w:rsid w:val="00ED0968"/>
    <w:rsid w:val="00ED3761"/>
    <w:rsid w:val="00ED4292"/>
    <w:rsid w:val="00EE5F19"/>
    <w:rsid w:val="00EE65E7"/>
    <w:rsid w:val="00EF0D28"/>
    <w:rsid w:val="00EF44F6"/>
    <w:rsid w:val="00EF51A5"/>
    <w:rsid w:val="00F022B5"/>
    <w:rsid w:val="00F067B2"/>
    <w:rsid w:val="00F13F27"/>
    <w:rsid w:val="00F31FC3"/>
    <w:rsid w:val="00F352B9"/>
    <w:rsid w:val="00F44868"/>
    <w:rsid w:val="00F45947"/>
    <w:rsid w:val="00F621B0"/>
    <w:rsid w:val="00F64E41"/>
    <w:rsid w:val="00FA2BA1"/>
    <w:rsid w:val="00FF09D8"/>
    <w:rsid w:val="00FF7E0F"/>
    <w:rsid w:val="01BB29E5"/>
    <w:rsid w:val="02896E7B"/>
    <w:rsid w:val="03E7328F"/>
    <w:rsid w:val="04726E47"/>
    <w:rsid w:val="0498452A"/>
    <w:rsid w:val="04A100FC"/>
    <w:rsid w:val="054D0453"/>
    <w:rsid w:val="058D05F3"/>
    <w:rsid w:val="0797205F"/>
    <w:rsid w:val="09010733"/>
    <w:rsid w:val="09DF1CD8"/>
    <w:rsid w:val="0AA55BAE"/>
    <w:rsid w:val="0B1C729A"/>
    <w:rsid w:val="0BD90B45"/>
    <w:rsid w:val="0CB337EB"/>
    <w:rsid w:val="0D2E3297"/>
    <w:rsid w:val="0DBA4F6D"/>
    <w:rsid w:val="0DF22ECE"/>
    <w:rsid w:val="0F475B8F"/>
    <w:rsid w:val="10316B2E"/>
    <w:rsid w:val="10496130"/>
    <w:rsid w:val="1463785F"/>
    <w:rsid w:val="15F80E62"/>
    <w:rsid w:val="17A3618B"/>
    <w:rsid w:val="19F2778E"/>
    <w:rsid w:val="1A3209D1"/>
    <w:rsid w:val="1ADC712E"/>
    <w:rsid w:val="1C305903"/>
    <w:rsid w:val="1E530D20"/>
    <w:rsid w:val="1FDA4548"/>
    <w:rsid w:val="20F66E78"/>
    <w:rsid w:val="21B71413"/>
    <w:rsid w:val="22DC2B19"/>
    <w:rsid w:val="22FE3DAC"/>
    <w:rsid w:val="23B906BA"/>
    <w:rsid w:val="26044FEF"/>
    <w:rsid w:val="266851FD"/>
    <w:rsid w:val="28055C38"/>
    <w:rsid w:val="295A0D7E"/>
    <w:rsid w:val="2A77008B"/>
    <w:rsid w:val="2AF02E1B"/>
    <w:rsid w:val="2BA67CCE"/>
    <w:rsid w:val="2BC61C8B"/>
    <w:rsid w:val="2DB53939"/>
    <w:rsid w:val="2EBF7208"/>
    <w:rsid w:val="2FAB61C5"/>
    <w:rsid w:val="311B3C4E"/>
    <w:rsid w:val="35C429E8"/>
    <w:rsid w:val="36AD23E4"/>
    <w:rsid w:val="36FD522E"/>
    <w:rsid w:val="37220262"/>
    <w:rsid w:val="383C1385"/>
    <w:rsid w:val="385A22AF"/>
    <w:rsid w:val="387C3700"/>
    <w:rsid w:val="3E16715A"/>
    <w:rsid w:val="3E720C63"/>
    <w:rsid w:val="3F7F2D3D"/>
    <w:rsid w:val="41643C4D"/>
    <w:rsid w:val="42785C24"/>
    <w:rsid w:val="42DA7834"/>
    <w:rsid w:val="43393C21"/>
    <w:rsid w:val="440F5345"/>
    <w:rsid w:val="450D5647"/>
    <w:rsid w:val="472232F2"/>
    <w:rsid w:val="477748B4"/>
    <w:rsid w:val="4AC21750"/>
    <w:rsid w:val="4B721831"/>
    <w:rsid w:val="4E6671DF"/>
    <w:rsid w:val="4EE41FF7"/>
    <w:rsid w:val="4F570C7A"/>
    <w:rsid w:val="536B0CD6"/>
    <w:rsid w:val="5658071E"/>
    <w:rsid w:val="573E491F"/>
    <w:rsid w:val="57BA3603"/>
    <w:rsid w:val="5A562701"/>
    <w:rsid w:val="5AD95B08"/>
    <w:rsid w:val="5BEF547F"/>
    <w:rsid w:val="5C8F1684"/>
    <w:rsid w:val="5CC077F0"/>
    <w:rsid w:val="5CD21F82"/>
    <w:rsid w:val="5DEE21FC"/>
    <w:rsid w:val="5FFA27EF"/>
    <w:rsid w:val="60BE4AD3"/>
    <w:rsid w:val="60EB6946"/>
    <w:rsid w:val="62742A0B"/>
    <w:rsid w:val="63354C40"/>
    <w:rsid w:val="647703D1"/>
    <w:rsid w:val="665F48F7"/>
    <w:rsid w:val="678E2FAE"/>
    <w:rsid w:val="6956127B"/>
    <w:rsid w:val="6A8D23D7"/>
    <w:rsid w:val="6E0337E9"/>
    <w:rsid w:val="70BB7E0E"/>
    <w:rsid w:val="70C0714D"/>
    <w:rsid w:val="710B000C"/>
    <w:rsid w:val="71EE7FE7"/>
    <w:rsid w:val="737813BE"/>
    <w:rsid w:val="74F93EBF"/>
    <w:rsid w:val="77372B89"/>
    <w:rsid w:val="78A60508"/>
    <w:rsid w:val="79517403"/>
    <w:rsid w:val="7AC70DCF"/>
    <w:rsid w:val="7AFF3FCE"/>
    <w:rsid w:val="7B405A30"/>
    <w:rsid w:val="7B93526B"/>
    <w:rsid w:val="7E9430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color w:val="000000"/>
      <w:kern w:val="2"/>
      <w:sz w:val="30"/>
      <w:szCs w:val="21"/>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widowControl/>
      <w:spacing w:line="300" w:lineRule="auto"/>
      <w:ind w:right="-287" w:firstLine="660"/>
    </w:pPr>
    <w:rPr>
      <w:rFonts w:ascii="仿宋_GB2312"/>
      <w:color w:val="auto"/>
      <w:kern w:val="0"/>
      <w:szCs w:val="20"/>
    </w:rPr>
  </w:style>
  <w:style w:type="paragraph" w:styleId="3">
    <w:name w:val="Date"/>
    <w:basedOn w:val="1"/>
    <w:next w:val="1"/>
    <w:qFormat/>
    <w:uiPriority w:val="0"/>
    <w:pPr>
      <w:ind w:left="100" w:leftChars="2500"/>
    </w:pPr>
  </w:style>
  <w:style w:type="paragraph" w:styleId="4">
    <w:name w:val="Body Text Indent 2"/>
    <w:basedOn w:val="1"/>
    <w:link w:val="13"/>
    <w:qFormat/>
    <w:uiPriority w:val="0"/>
    <w:pPr>
      <w:widowControl/>
      <w:spacing w:line="440" w:lineRule="exact"/>
      <w:ind w:right="-289" w:firstLine="570"/>
      <w:jc w:val="left"/>
    </w:pPr>
    <w:rPr>
      <w:rFonts w:ascii="仿宋_GB2312"/>
      <w:color w:val="auto"/>
      <w:kern w:val="0"/>
      <w:szCs w:val="20"/>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eastAsia="宋体" w:cs="宋体"/>
      <w:color w:val="auto"/>
      <w:kern w:val="0"/>
      <w:sz w:val="24"/>
      <w:szCs w:val="24"/>
    </w:rPr>
  </w:style>
  <w:style w:type="paragraph" w:styleId="9">
    <w:name w:val="Title"/>
    <w:basedOn w:val="1"/>
    <w:next w:val="1"/>
    <w:qFormat/>
    <w:uiPriority w:val="10"/>
    <w:pPr>
      <w:spacing w:before="240" w:after="60"/>
      <w:jc w:val="center"/>
      <w:outlineLvl w:val="0"/>
    </w:pPr>
    <w:rPr>
      <w:rFonts w:asciiTheme="majorHAnsi" w:hAnsiTheme="majorHAnsi" w:eastAsiaTheme="majorEastAsia" w:cstheme="majorBidi"/>
      <w:b/>
      <w:bCs/>
      <w:sz w:val="32"/>
      <w:szCs w:val="32"/>
    </w:rPr>
  </w:style>
  <w:style w:type="character" w:styleId="12">
    <w:name w:val="Hyperlink"/>
    <w:basedOn w:val="11"/>
    <w:qFormat/>
    <w:uiPriority w:val="0"/>
    <w:rPr>
      <w:color w:val="0000FF"/>
      <w:u w:val="single"/>
    </w:rPr>
  </w:style>
  <w:style w:type="character" w:customStyle="1" w:styleId="13">
    <w:name w:val="正文文本缩进 2 字符"/>
    <w:basedOn w:val="11"/>
    <w:link w:val="4"/>
    <w:qFormat/>
    <w:uiPriority w:val="0"/>
    <w:rPr>
      <w:rFonts w:ascii="仿宋_GB2312" w:eastAsia="仿宋_GB2312"/>
      <w:sz w:val="30"/>
      <w:lang w:val="en-US" w:eastAsia="zh-CN" w:bidi="ar-SA"/>
    </w:rPr>
  </w:style>
  <w:style w:type="paragraph" w:styleId="14">
    <w:name w:val="List Paragraph"/>
    <w:basedOn w:val="1"/>
    <w:qFormat/>
    <w:uiPriority w:val="99"/>
    <w:pPr>
      <w:ind w:firstLine="420" w:firstLineChars="200"/>
    </w:pPr>
  </w:style>
  <w:style w:type="character" w:customStyle="1" w:styleId="15">
    <w:name w:val="页眉 字符"/>
    <w:basedOn w:val="11"/>
    <w:link w:val="7"/>
    <w:qFormat/>
    <w:uiPriority w:val="0"/>
    <w:rPr>
      <w:rFonts w:eastAsia="仿宋_GB2312"/>
      <w:color w:val="000000"/>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9</Pages>
  <Words>703</Words>
  <Characters>4008</Characters>
  <Lines>33</Lines>
  <Paragraphs>9</Paragraphs>
  <TotalTime>114</TotalTime>
  <ScaleCrop>false</ScaleCrop>
  <LinksUpToDate>false</LinksUpToDate>
  <CharactersWithSpaces>4702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2014-03-17T00:17:00Z</dcterms:created>
  <dc:creator>as</dc:creator>
  <cp:lastModifiedBy>Administrator</cp:lastModifiedBy>
  <cp:lastPrinted>2020-04-08T07:56:00Z</cp:lastPrinted>
  <dcterms:modified xsi:type="dcterms:W3CDTF">2020-04-10T04:54:35Z</dcterms:modified>
  <dc:title>豫企[2005]  号</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